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1F3" w:rsidRDefault="00C621F3" w:rsidP="001D4E6F">
      <w:pPr>
        <w:rPr>
          <w:rFonts w:ascii="Trebuchet MS" w:hAnsi="Trebuchet MS"/>
        </w:rPr>
      </w:pPr>
      <w:r w:rsidRPr="00FC7032">
        <w:rPr>
          <w:rFonts w:ascii="Trebuchet MS" w:hAnsi="Trebuchet MS"/>
          <w:b/>
          <w:color w:val="002060"/>
        </w:rPr>
        <w:t>Approved Subject Line:</w:t>
      </w:r>
      <w:r w:rsidRPr="004A3A80">
        <w:rPr>
          <w:rFonts w:ascii="Trebuchet MS" w:hAnsi="Trebuchet MS"/>
          <w:color w:val="948A54" w:themeColor="background2" w:themeShade="80"/>
        </w:rPr>
        <w:t xml:space="preserve"> </w:t>
      </w:r>
      <w:r w:rsidR="00A97E5E">
        <w:rPr>
          <w:rFonts w:ascii="Trebuchet MS" w:hAnsi="Trebuchet MS"/>
        </w:rPr>
        <w:t>Help Support the UF Alumni Association with Every Purchase!</w:t>
      </w:r>
    </w:p>
    <w:p w:rsidR="005F57CD" w:rsidRDefault="005F57CD" w:rsidP="001D4E6F">
      <w:pPr>
        <w:rPr>
          <w:rFonts w:ascii="Trebuchet MS" w:hAnsi="Trebuchet MS"/>
        </w:rPr>
      </w:pPr>
    </w:p>
    <w:p w:rsidR="005F57CD" w:rsidRDefault="005F57CD" w:rsidP="005F57CD">
      <w:pPr>
        <w:jc w:val="center"/>
        <w:rPr>
          <w:rFonts w:ascii="Trebuchet MS" w:hAnsi="Trebuchet MS"/>
        </w:rPr>
      </w:pPr>
      <w:r>
        <w:rPr>
          <w:rFonts w:ascii="Trebuchet MS" w:hAnsi="Trebuchet MS"/>
        </w:rPr>
        <w:t>[header]</w:t>
      </w:r>
    </w:p>
    <w:tbl>
      <w:tblPr>
        <w:tblStyle w:val="TableGrid"/>
        <w:tblW w:w="9654" w:type="dxa"/>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BE5F1" w:themeFill="accent1" w:themeFillTint="33"/>
        <w:tblLayout w:type="fixed"/>
        <w:tblLook w:val="04A0" w:firstRow="1" w:lastRow="0" w:firstColumn="1" w:lastColumn="0" w:noHBand="0" w:noVBand="1"/>
      </w:tblPr>
      <w:tblGrid>
        <w:gridCol w:w="9630"/>
        <w:gridCol w:w="24"/>
      </w:tblGrid>
      <w:tr w:rsidR="005F57CD" w:rsidRPr="00D86069" w:rsidTr="0007155C">
        <w:trPr>
          <w:gridAfter w:val="1"/>
          <w:wAfter w:w="24" w:type="dxa"/>
          <w:trHeight w:val="2114"/>
        </w:trPr>
        <w:tc>
          <w:tcPr>
            <w:tcW w:w="9630" w:type="dxa"/>
            <w:shd w:val="clear" w:color="auto" w:fill="FFFFFF" w:themeFill="background1"/>
          </w:tcPr>
          <w:p w:rsidR="005F57CD" w:rsidRPr="00682A90" w:rsidRDefault="005F57CD" w:rsidP="0007155C">
            <w:pPr>
              <w:ind w:left="360"/>
              <w:rPr>
                <w:rFonts w:ascii="Trebuchet MS" w:eastAsia="Times New Roman" w:hAnsi="Trebuchet MS" w:cs="Arial"/>
                <w:b/>
                <w:color w:val="000000"/>
                <w:sz w:val="16"/>
                <w:szCs w:val="16"/>
              </w:rPr>
            </w:pPr>
          </w:p>
          <w:p w:rsidR="005F57CD" w:rsidRDefault="005F57CD" w:rsidP="0007155C">
            <w:pPr>
              <w:spacing w:after="120"/>
              <w:jc w:val="center"/>
              <w:rPr>
                <w:rFonts w:ascii="Trebuchet MS" w:hAnsi="Trebuchet MS" w:cs="Calibri"/>
                <w:sz w:val="18"/>
                <w:szCs w:val="18"/>
              </w:rPr>
            </w:pPr>
          </w:p>
          <w:p w:rsidR="005F57CD" w:rsidRDefault="005F57CD" w:rsidP="0007155C">
            <w:pPr>
              <w:spacing w:after="120"/>
              <w:jc w:val="center"/>
              <w:rPr>
                <w:rFonts w:ascii="Trebuchet MS" w:hAnsi="Trebuchet MS" w:cs="Calibri"/>
                <w:sz w:val="24"/>
                <w:szCs w:val="24"/>
              </w:rPr>
            </w:pPr>
            <w:r w:rsidRPr="00797027">
              <w:rPr>
                <w:rFonts w:ascii="Trebuchet MS" w:hAnsi="Trebuchet MS" w:cs="Calibri"/>
                <w:sz w:val="24"/>
                <w:szCs w:val="24"/>
              </w:rPr>
              <w:t xml:space="preserve">As </w:t>
            </w:r>
            <w:r>
              <w:rPr>
                <w:rFonts w:ascii="Trebuchet MS" w:hAnsi="Trebuchet MS" w:cs="Calibri"/>
                <w:sz w:val="24"/>
                <w:szCs w:val="24"/>
              </w:rPr>
              <w:t xml:space="preserve">a </w:t>
            </w:r>
            <w:r w:rsidRPr="00797027">
              <w:rPr>
                <w:rFonts w:ascii="Trebuchet MS" w:hAnsi="Trebuchet MS" w:cs="Calibri"/>
                <w:sz w:val="24"/>
                <w:szCs w:val="24"/>
              </w:rPr>
              <w:t>valued</w:t>
            </w:r>
            <w:r>
              <w:rPr>
                <w:rFonts w:ascii="Trebuchet MS" w:hAnsi="Trebuchet MS" w:cs="Calibri"/>
                <w:sz w:val="24"/>
                <w:szCs w:val="24"/>
              </w:rPr>
              <w:t xml:space="preserve"> a</w:t>
            </w:r>
            <w:r>
              <w:rPr>
                <w:rFonts w:ascii="Trebuchet MS" w:hAnsi="Trebuchet MS" w:cs="Calibri"/>
                <w:sz w:val="24"/>
                <w:szCs w:val="24"/>
              </w:rPr>
              <w:t>lum</w:t>
            </w:r>
            <w:r>
              <w:rPr>
                <w:rFonts w:ascii="Trebuchet MS" w:hAnsi="Trebuchet MS" w:cs="Calibri"/>
                <w:sz w:val="24"/>
                <w:szCs w:val="24"/>
              </w:rPr>
              <w:t>nus</w:t>
            </w:r>
            <w:r>
              <w:rPr>
                <w:rFonts w:ascii="Trebuchet MS" w:hAnsi="Trebuchet MS" w:cs="Calibri"/>
                <w:sz w:val="24"/>
                <w:szCs w:val="24"/>
              </w:rPr>
              <w:t xml:space="preserve"> of the University of Florida, </w:t>
            </w:r>
            <w:r w:rsidRPr="00797027">
              <w:rPr>
                <w:rFonts w:ascii="Trebuchet MS" w:hAnsi="Trebuchet MS" w:cs="Calibri"/>
                <w:sz w:val="24"/>
                <w:szCs w:val="24"/>
              </w:rPr>
              <w:t>we are excited to offer you the</w:t>
            </w:r>
            <w:r>
              <w:rPr>
                <w:rFonts w:ascii="Trebuchet MS" w:hAnsi="Trebuchet MS" w:cs="Calibri"/>
                <w:sz w:val="24"/>
                <w:szCs w:val="24"/>
              </w:rPr>
              <w:t xml:space="preserve"> new </w:t>
            </w:r>
            <w:r w:rsidRPr="00797027">
              <w:rPr>
                <w:rFonts w:ascii="Trebuchet MS" w:hAnsi="Trebuchet MS" w:cs="Calibri"/>
                <w:sz w:val="24"/>
                <w:szCs w:val="24"/>
              </w:rPr>
              <w:t>Florida</w:t>
            </w:r>
            <w:r>
              <w:rPr>
                <w:rFonts w:ascii="Trebuchet MS" w:hAnsi="Trebuchet MS" w:cs="Calibri"/>
                <w:sz w:val="24"/>
                <w:szCs w:val="24"/>
              </w:rPr>
              <w:t xml:space="preserve"> Gators </w:t>
            </w:r>
            <w:r w:rsidRPr="00797027">
              <w:rPr>
                <w:rFonts w:ascii="Trebuchet MS" w:hAnsi="Trebuchet MS" w:cs="Calibri"/>
                <w:sz w:val="24"/>
                <w:szCs w:val="24"/>
              </w:rPr>
              <w:t>Master</w:t>
            </w:r>
            <w:r>
              <w:rPr>
                <w:rFonts w:ascii="Trebuchet MS" w:hAnsi="Trebuchet MS" w:cs="Calibri"/>
                <w:sz w:val="24"/>
                <w:szCs w:val="24"/>
              </w:rPr>
              <w:t>c</w:t>
            </w:r>
            <w:r w:rsidRPr="00797027">
              <w:rPr>
                <w:rFonts w:ascii="Trebuchet MS" w:hAnsi="Trebuchet MS" w:cs="Calibri"/>
                <w:sz w:val="24"/>
                <w:szCs w:val="24"/>
              </w:rPr>
              <w:t>ard</w:t>
            </w:r>
            <w:r w:rsidRPr="00A97E5E">
              <w:rPr>
                <w:rFonts w:ascii="Trebuchet MS" w:hAnsi="Trebuchet MS" w:cs="Calibri"/>
                <w:sz w:val="24"/>
                <w:szCs w:val="24"/>
                <w:vertAlign w:val="superscript"/>
              </w:rPr>
              <w:t>®</w:t>
            </w:r>
            <w:r w:rsidRPr="00797027">
              <w:rPr>
                <w:rFonts w:ascii="Trebuchet MS" w:hAnsi="Trebuchet MS" w:cs="Calibri"/>
                <w:sz w:val="24"/>
                <w:szCs w:val="24"/>
              </w:rPr>
              <w:t>!</w:t>
            </w:r>
            <w:r>
              <w:rPr>
                <w:rFonts w:ascii="Trebuchet MS" w:hAnsi="Trebuchet MS" w:cs="Calibri"/>
                <w:sz w:val="24"/>
                <w:szCs w:val="24"/>
              </w:rPr>
              <w:t xml:space="preserve">  Get the card that rewards you and helps support the UF Alumni Association with every purchase.</w:t>
            </w:r>
          </w:p>
          <w:p w:rsidR="005F57CD" w:rsidRPr="00D86069" w:rsidRDefault="005F57CD" w:rsidP="0007155C">
            <w:pPr>
              <w:spacing w:after="240"/>
              <w:ind w:left="360" w:right="432"/>
              <w:jc w:val="center"/>
              <w:rPr>
                <w:rFonts w:ascii="Trebuchet MS" w:hAnsi="Trebuchet MS"/>
                <w:b/>
                <w:color w:val="FA4616"/>
                <w:sz w:val="32"/>
                <w:szCs w:val="32"/>
              </w:rPr>
            </w:pPr>
            <w:r w:rsidRPr="00D86069">
              <w:rPr>
                <w:rFonts w:ascii="Trebuchet MS" w:hAnsi="Trebuchet MS"/>
                <w:b/>
                <w:color w:val="FA4616"/>
                <w:sz w:val="32"/>
                <w:szCs w:val="32"/>
              </w:rPr>
              <w:t>Apply Now (</w:t>
            </w:r>
            <w:r>
              <w:rPr>
                <w:rFonts w:ascii="Trebuchet MS" w:hAnsi="Trebuchet MS"/>
                <w:b/>
                <w:color w:val="FA4616"/>
                <w:sz w:val="28"/>
                <w:szCs w:val="24"/>
              </w:rPr>
              <w:t>link to</w:t>
            </w:r>
            <w:r w:rsidRPr="00A97E5E">
              <w:rPr>
                <w:rFonts w:ascii="Trebuchet MS" w:hAnsi="Trebuchet MS"/>
                <w:b/>
                <w:color w:val="FA4616"/>
                <w:sz w:val="28"/>
                <w:szCs w:val="24"/>
              </w:rPr>
              <w:t xml:space="preserve"> </w:t>
            </w:r>
            <w:r w:rsidRPr="00A97E5E">
              <w:rPr>
                <w:color w:val="FA4616"/>
                <w:sz w:val="32"/>
              </w:rPr>
              <w:t>commercebank.com/</w:t>
            </w:r>
            <w:r w:rsidRPr="00A97E5E">
              <w:rPr>
                <w:b/>
                <w:color w:val="FA4616"/>
                <w:sz w:val="32"/>
              </w:rPr>
              <w:t>Gators</w:t>
            </w:r>
            <w:r w:rsidRPr="00D86069">
              <w:rPr>
                <w:rFonts w:ascii="Trebuchet MS" w:hAnsi="Trebuchet MS"/>
                <w:b/>
                <w:color w:val="FA4616"/>
                <w:sz w:val="32"/>
                <w:szCs w:val="32"/>
              </w:rPr>
              <w:t>)</w:t>
            </w:r>
          </w:p>
        </w:tc>
      </w:tr>
      <w:tr w:rsidR="005F57CD" w:rsidRPr="00682A90" w:rsidTr="0007155C">
        <w:trPr>
          <w:trHeight w:val="5728"/>
        </w:trPr>
        <w:tc>
          <w:tcPr>
            <w:tcW w:w="9654" w:type="dxa"/>
            <w:gridSpan w:val="2"/>
            <w:shd w:val="clear" w:color="auto" w:fill="FFFFFF" w:themeFill="background1"/>
          </w:tcPr>
          <w:p w:rsidR="005F57CD" w:rsidRPr="00682A90" w:rsidRDefault="005F57CD" w:rsidP="0007155C">
            <w:pPr>
              <w:ind w:left="360"/>
              <w:rPr>
                <w:rFonts w:ascii="Trebuchet MS" w:hAnsi="Trebuchet MS"/>
              </w:rPr>
            </w:pPr>
          </w:p>
          <w:p w:rsidR="005F57CD" w:rsidRPr="005E29E3" w:rsidRDefault="005F57CD" w:rsidP="0007155C">
            <w:pPr>
              <w:pStyle w:val="NoSpacing"/>
              <w:spacing w:after="120"/>
              <w:rPr>
                <w:rFonts w:ascii="Trebuchet MS" w:eastAsia="Times New Roman" w:hAnsi="Trebuchet MS" w:cs="Times New Roman"/>
                <w:sz w:val="24"/>
                <w:szCs w:val="24"/>
              </w:rPr>
            </w:pPr>
            <w:r w:rsidRPr="005E29E3">
              <w:rPr>
                <w:rFonts w:ascii="Trebuchet MS" w:eastAsia="Times New Roman" w:hAnsi="Trebuchet MS" w:cs="Times New Roman"/>
                <w:sz w:val="24"/>
                <w:szCs w:val="24"/>
              </w:rPr>
              <w:t xml:space="preserve">Apply today and start enjoying these great cardholder benefits:   </w:t>
            </w:r>
          </w:p>
          <w:p w:rsidR="005F57CD" w:rsidRPr="005E29E3" w:rsidRDefault="005F57CD" w:rsidP="0007155C">
            <w:pPr>
              <w:pStyle w:val="NoSpacing"/>
              <w:numPr>
                <w:ilvl w:val="0"/>
                <w:numId w:val="3"/>
              </w:numPr>
              <w:rPr>
                <w:rFonts w:ascii="Trebuchet MS" w:hAnsi="Trebuchet MS"/>
                <w:sz w:val="24"/>
                <w:szCs w:val="24"/>
              </w:rPr>
            </w:pPr>
            <w:r w:rsidRPr="005E29E3">
              <w:rPr>
                <w:rFonts w:ascii="Trebuchet MS" w:hAnsi="Trebuchet MS"/>
                <w:sz w:val="24"/>
                <w:szCs w:val="24"/>
              </w:rPr>
              <w:t>Earn Unlimited 1% Cash Back</w:t>
            </w:r>
            <w:r w:rsidRPr="005E29E3">
              <w:rPr>
                <w:rFonts w:ascii="Trebuchet MS" w:hAnsi="Trebuchet MS"/>
                <w:sz w:val="24"/>
                <w:szCs w:val="24"/>
                <w:vertAlign w:val="superscript"/>
              </w:rPr>
              <w:t>1</w:t>
            </w:r>
            <w:r w:rsidRPr="005E29E3">
              <w:rPr>
                <w:rFonts w:ascii="Trebuchet MS" w:hAnsi="Trebuchet MS"/>
                <w:sz w:val="24"/>
                <w:szCs w:val="24"/>
              </w:rPr>
              <w:t>!</w:t>
            </w:r>
          </w:p>
          <w:p w:rsidR="005F57CD" w:rsidRPr="005E29E3" w:rsidRDefault="005F57CD" w:rsidP="0007155C">
            <w:pPr>
              <w:pStyle w:val="NoSpacing"/>
              <w:ind w:left="720"/>
              <w:rPr>
                <w:rFonts w:ascii="Trebuchet MS" w:hAnsi="Trebuchet MS"/>
                <w:sz w:val="20"/>
                <w:szCs w:val="16"/>
              </w:rPr>
            </w:pPr>
            <w:r w:rsidRPr="005E29E3">
              <w:rPr>
                <w:rFonts w:ascii="Trebuchet MS" w:hAnsi="Trebuchet MS"/>
                <w:sz w:val="20"/>
                <w:szCs w:val="16"/>
              </w:rPr>
              <w:t>Cash Back redemption is applied as a statement credit.</w:t>
            </w:r>
          </w:p>
          <w:p w:rsidR="005F57CD" w:rsidRPr="005E29E3" w:rsidRDefault="005F57CD" w:rsidP="0007155C">
            <w:pPr>
              <w:pStyle w:val="NoSpacing"/>
              <w:numPr>
                <w:ilvl w:val="0"/>
                <w:numId w:val="3"/>
              </w:numPr>
              <w:rPr>
                <w:rFonts w:ascii="Trebuchet MS" w:hAnsi="Trebuchet MS"/>
                <w:sz w:val="24"/>
                <w:szCs w:val="24"/>
              </w:rPr>
            </w:pPr>
            <w:r w:rsidRPr="005E29E3">
              <w:rPr>
                <w:rFonts w:ascii="Trebuchet MS" w:hAnsi="Trebuchet MS"/>
                <w:sz w:val="24"/>
                <w:szCs w:val="24"/>
              </w:rPr>
              <w:t>Earn 2% &amp; 3% Cash Back</w:t>
            </w:r>
            <w:r w:rsidRPr="005E29E3">
              <w:rPr>
                <w:rFonts w:ascii="Trebuchet MS" w:hAnsi="Trebuchet MS"/>
                <w:sz w:val="24"/>
                <w:szCs w:val="24"/>
                <w:vertAlign w:val="superscript"/>
              </w:rPr>
              <w:t>2</w:t>
            </w:r>
            <w:r w:rsidRPr="005E29E3">
              <w:rPr>
                <w:rFonts w:ascii="Trebuchet MS" w:hAnsi="Trebuchet MS"/>
                <w:sz w:val="24"/>
                <w:szCs w:val="24"/>
              </w:rPr>
              <w:t xml:space="preserve"> f</w:t>
            </w:r>
            <w:r w:rsidRPr="005E29E3">
              <w:rPr>
                <w:rFonts w:ascii="Trebuchet MS" w:hAnsi="Trebuchet MS"/>
                <w:sz w:val="20"/>
                <w:szCs w:val="16"/>
              </w:rPr>
              <w:t>or purchases in select categories</w:t>
            </w:r>
            <w:r w:rsidRPr="005E29E3">
              <w:rPr>
                <w:rFonts w:ascii="Trebuchet MS" w:hAnsi="Trebuchet MS"/>
                <w:sz w:val="20"/>
                <w:szCs w:val="16"/>
                <w:vertAlign w:val="superscript"/>
              </w:rPr>
              <w:t>3</w:t>
            </w:r>
            <w:r w:rsidRPr="005E29E3">
              <w:rPr>
                <w:rFonts w:ascii="Trebuchet MS" w:hAnsi="Trebuchet MS"/>
                <w:sz w:val="20"/>
                <w:szCs w:val="16"/>
              </w:rPr>
              <w:t xml:space="preserve"> </w:t>
            </w:r>
          </w:p>
          <w:p w:rsidR="005F57CD" w:rsidRPr="005E29E3" w:rsidRDefault="005F57CD" w:rsidP="0007155C">
            <w:pPr>
              <w:pStyle w:val="NoSpacing"/>
              <w:numPr>
                <w:ilvl w:val="0"/>
                <w:numId w:val="3"/>
              </w:numPr>
              <w:rPr>
                <w:rFonts w:ascii="Trebuchet MS" w:hAnsi="Trebuchet MS"/>
                <w:sz w:val="24"/>
                <w:szCs w:val="24"/>
              </w:rPr>
            </w:pPr>
            <w:r w:rsidRPr="005E29E3">
              <w:rPr>
                <w:rFonts w:ascii="Trebuchet MS" w:hAnsi="Trebuchet MS"/>
                <w:sz w:val="24"/>
                <w:szCs w:val="24"/>
              </w:rPr>
              <w:t>No Annual Fee</w:t>
            </w:r>
          </w:p>
          <w:p w:rsidR="005F57CD" w:rsidRPr="00682A90" w:rsidRDefault="005F57CD" w:rsidP="0007155C">
            <w:pPr>
              <w:pStyle w:val="NoSpacing"/>
              <w:rPr>
                <w:rFonts w:ascii="Trebuchet MS" w:hAnsi="Trebuchet MS"/>
                <w:noProof/>
                <w:sz w:val="20"/>
              </w:rPr>
            </w:pPr>
          </w:p>
          <w:p w:rsidR="005F57CD" w:rsidRPr="00682A90" w:rsidRDefault="005F57CD" w:rsidP="0007155C">
            <w:pPr>
              <w:pStyle w:val="NoSpacing"/>
              <w:rPr>
                <w:rFonts w:ascii="Trebuchet MS" w:hAnsi="Trebuchet MS"/>
                <w:sz w:val="20"/>
                <w:szCs w:val="20"/>
              </w:rPr>
            </w:pPr>
          </w:p>
          <w:p w:rsidR="005F57CD" w:rsidRPr="00A97E5E" w:rsidRDefault="005F57CD" w:rsidP="0007155C">
            <w:pPr>
              <w:pStyle w:val="NoSpacing"/>
              <w:jc w:val="center"/>
              <w:rPr>
                <w:rFonts w:ascii="Trebuchet MS" w:hAnsi="Trebuchet MS"/>
                <w:b/>
                <w:color w:val="FA4616"/>
                <w:sz w:val="28"/>
                <w:szCs w:val="24"/>
              </w:rPr>
            </w:pPr>
            <w:r>
              <w:rPr>
                <w:rFonts w:ascii="Trebuchet MS" w:hAnsi="Trebuchet MS"/>
                <w:b/>
                <w:color w:val="FA4616"/>
                <w:sz w:val="28"/>
                <w:szCs w:val="24"/>
              </w:rPr>
              <w:t>Apply Now (link to</w:t>
            </w:r>
            <w:r w:rsidRPr="00A97E5E">
              <w:rPr>
                <w:rFonts w:ascii="Trebuchet MS" w:hAnsi="Trebuchet MS"/>
                <w:b/>
                <w:color w:val="FA4616"/>
                <w:sz w:val="28"/>
                <w:szCs w:val="24"/>
              </w:rPr>
              <w:t xml:space="preserve"> </w:t>
            </w:r>
            <w:r w:rsidRPr="00A97E5E">
              <w:rPr>
                <w:color w:val="FA4616"/>
                <w:sz w:val="32"/>
              </w:rPr>
              <w:t>commercebank.com/</w:t>
            </w:r>
            <w:r w:rsidRPr="00A97E5E">
              <w:rPr>
                <w:b/>
                <w:color w:val="FA4616"/>
                <w:sz w:val="32"/>
              </w:rPr>
              <w:t>Gators</w:t>
            </w:r>
            <w:r>
              <w:rPr>
                <w:b/>
                <w:color w:val="FA4616"/>
                <w:sz w:val="32"/>
              </w:rPr>
              <w:t>)</w:t>
            </w:r>
          </w:p>
          <w:p w:rsidR="005F57CD" w:rsidRPr="00A97E5E" w:rsidRDefault="005F57CD" w:rsidP="0007155C">
            <w:pPr>
              <w:pStyle w:val="NoSpacing"/>
              <w:rPr>
                <w:rFonts w:ascii="Trebuchet MS" w:hAnsi="Trebuchet MS"/>
                <w:b/>
                <w:sz w:val="28"/>
                <w:szCs w:val="24"/>
              </w:rPr>
            </w:pPr>
          </w:p>
          <w:p w:rsidR="005F57CD" w:rsidRPr="005E29E3" w:rsidRDefault="005F57CD" w:rsidP="0007155C">
            <w:pPr>
              <w:pStyle w:val="NoSpacing"/>
              <w:rPr>
                <w:rFonts w:ascii="Trebuchet MS" w:hAnsi="Trebuchet MS"/>
                <w:noProof/>
                <w:sz w:val="28"/>
              </w:rPr>
            </w:pPr>
            <w:r w:rsidRPr="005E29E3">
              <w:rPr>
                <w:rFonts w:ascii="Trebuchet MS" w:hAnsi="Trebuchet MS"/>
                <w:noProof/>
                <w:sz w:val="24"/>
              </w:rPr>
              <w:t>Sincerely,</w:t>
            </w:r>
          </w:p>
          <w:p w:rsidR="005F57CD" w:rsidRPr="005E29E3" w:rsidRDefault="005F57CD" w:rsidP="0007155C">
            <w:pPr>
              <w:pStyle w:val="NoSpacing"/>
              <w:rPr>
                <w:rFonts w:ascii="Trebuchet MS" w:hAnsi="Trebuchet MS"/>
                <w:noProof/>
                <w:sz w:val="24"/>
              </w:rPr>
            </w:pPr>
            <w:r w:rsidRPr="005E29E3">
              <w:rPr>
                <w:rFonts w:ascii="Trebuchet MS" w:hAnsi="Trebuchet MS"/>
                <w:noProof/>
                <w:sz w:val="24"/>
              </w:rPr>
              <w:t>University of Florida Alumni Association</w:t>
            </w:r>
          </w:p>
          <w:p w:rsidR="005F57CD" w:rsidRPr="00682A90" w:rsidRDefault="005F57CD" w:rsidP="0007155C">
            <w:pPr>
              <w:ind w:left="360"/>
              <w:rPr>
                <w:rFonts w:ascii="Trebuchet MS" w:hAnsi="Trebuchet MS" w:cs="Arial"/>
                <w:sz w:val="20"/>
                <w:szCs w:val="20"/>
              </w:rPr>
            </w:pPr>
          </w:p>
          <w:p w:rsidR="005F57CD" w:rsidRPr="00682A90" w:rsidRDefault="005F57CD" w:rsidP="0007155C">
            <w:pPr>
              <w:ind w:left="360" w:right="360"/>
              <w:rPr>
                <w:rFonts w:ascii="Trebuchet MS" w:hAnsi="Trebuchet MS"/>
                <w:noProof/>
                <w:color w:val="595959" w:themeColor="text1" w:themeTint="A6"/>
                <w:sz w:val="18"/>
                <w:szCs w:val="18"/>
              </w:rPr>
            </w:pPr>
          </w:p>
          <w:p w:rsidR="005F57CD" w:rsidRDefault="005F57CD" w:rsidP="0007155C">
            <w:pPr>
              <w:ind w:right="360"/>
              <w:rPr>
                <w:rFonts w:ascii="Arial" w:hAnsi="Arial" w:cs="Arial"/>
                <w:noProof/>
                <w:sz w:val="18"/>
                <w:szCs w:val="18"/>
              </w:rPr>
            </w:pPr>
            <w:r w:rsidRPr="00682A90">
              <w:rPr>
                <w:rFonts w:ascii="Arial" w:hAnsi="Arial" w:cs="Arial"/>
                <w:noProof/>
                <w:sz w:val="18"/>
                <w:szCs w:val="18"/>
              </w:rPr>
              <w:t>Disclosures:</w:t>
            </w:r>
          </w:p>
          <w:p w:rsidR="005F57CD" w:rsidRDefault="005F57CD" w:rsidP="0007155C">
            <w:pPr>
              <w:ind w:right="360"/>
              <w:rPr>
                <w:rFonts w:ascii="Arial" w:hAnsi="Arial" w:cs="Arial"/>
                <w:noProof/>
                <w:sz w:val="18"/>
                <w:szCs w:val="18"/>
              </w:rPr>
            </w:pPr>
          </w:p>
          <w:p w:rsidR="005F57CD" w:rsidRPr="00682A90" w:rsidRDefault="005F57CD" w:rsidP="0007155C">
            <w:pPr>
              <w:pStyle w:val="NoSpacing"/>
              <w:numPr>
                <w:ilvl w:val="0"/>
                <w:numId w:val="4"/>
              </w:numPr>
              <w:rPr>
                <w:rFonts w:cs="Arial"/>
                <w:sz w:val="16"/>
                <w:szCs w:val="16"/>
              </w:rPr>
            </w:pPr>
            <w:r w:rsidRPr="00682A90">
              <w:rPr>
                <w:rFonts w:cs="Arial"/>
                <w:sz w:val="16"/>
                <w:szCs w:val="16"/>
              </w:rPr>
              <w:t>A Cash Back redemption is applied as a statement credit. The statement credit will reduce your balance, but you are still required to make at least your minimum payment. Values for non-cash back redemption items such as merchandise, gift cards, and travel may vary.</w:t>
            </w:r>
          </w:p>
          <w:p w:rsidR="005F57CD" w:rsidRPr="00682A90" w:rsidRDefault="005F57CD" w:rsidP="0007155C">
            <w:pPr>
              <w:pStyle w:val="NoSpacing"/>
              <w:numPr>
                <w:ilvl w:val="0"/>
                <w:numId w:val="4"/>
              </w:numPr>
              <w:rPr>
                <w:rFonts w:cs="Arial"/>
                <w:sz w:val="16"/>
                <w:szCs w:val="16"/>
              </w:rPr>
            </w:pPr>
            <w:r w:rsidRPr="00682A90">
              <w:rPr>
                <w:rFonts w:cs="Arial"/>
                <w:sz w:val="16"/>
                <w:szCs w:val="16"/>
              </w:rPr>
              <w:t>Merchants self-select the category in which they would like their transaction items to be listed. Please note some merchants may be owned by other companies, therefore transactions may not be counted in the expected category.</w:t>
            </w:r>
          </w:p>
          <w:p w:rsidR="005F57CD" w:rsidRDefault="005F57CD" w:rsidP="0007155C">
            <w:pPr>
              <w:ind w:right="360"/>
              <w:rPr>
                <w:rFonts w:ascii="Arial" w:hAnsi="Arial" w:cs="Arial"/>
                <w:noProof/>
                <w:sz w:val="18"/>
                <w:szCs w:val="18"/>
              </w:rPr>
            </w:pPr>
          </w:p>
          <w:p w:rsidR="005F57CD" w:rsidRPr="00682A90" w:rsidRDefault="005F57CD" w:rsidP="0007155C">
            <w:pPr>
              <w:ind w:right="360"/>
              <w:rPr>
                <w:rFonts w:ascii="Trebuchet MS" w:eastAsia="Times New Roman" w:hAnsi="Trebuchet MS" w:cs="Arial"/>
                <w:sz w:val="18"/>
                <w:szCs w:val="18"/>
              </w:rPr>
            </w:pPr>
          </w:p>
        </w:tc>
        <w:bookmarkStart w:id="0" w:name="_GoBack"/>
        <w:bookmarkEnd w:id="0"/>
      </w:tr>
    </w:tbl>
    <w:p w:rsidR="005F57CD" w:rsidRPr="004A3A80" w:rsidRDefault="005F57CD" w:rsidP="001D4E6F">
      <w:pPr>
        <w:rPr>
          <w:rFonts w:ascii="Trebuchet MS" w:hAnsi="Trebuchet MS"/>
          <w:color w:val="948A54" w:themeColor="background2" w:themeShade="80"/>
        </w:rPr>
      </w:pPr>
    </w:p>
    <w:sectPr w:rsidR="005F57CD" w:rsidRPr="004A3A80" w:rsidSect="00C00872">
      <w:pgSz w:w="12240" w:h="20160" w:code="5"/>
      <w:pgMar w:top="1440" w:right="1440" w:bottom="144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D8" w:rsidRDefault="00BB52D8" w:rsidP="005F50B1">
      <w:pPr>
        <w:spacing w:after="0" w:line="240" w:lineRule="auto"/>
      </w:pPr>
      <w:r>
        <w:separator/>
      </w:r>
    </w:p>
  </w:endnote>
  <w:endnote w:type="continuationSeparator" w:id="0">
    <w:p w:rsidR="00BB52D8" w:rsidRDefault="00BB52D8" w:rsidP="005F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D8" w:rsidRDefault="00BB52D8" w:rsidP="005F50B1">
      <w:pPr>
        <w:spacing w:after="0" w:line="240" w:lineRule="auto"/>
      </w:pPr>
      <w:r>
        <w:separator/>
      </w:r>
    </w:p>
  </w:footnote>
  <w:footnote w:type="continuationSeparator" w:id="0">
    <w:p w:rsidR="00BB52D8" w:rsidRDefault="00BB52D8" w:rsidP="005F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3F6"/>
    <w:multiLevelType w:val="hybridMultilevel"/>
    <w:tmpl w:val="968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E1AED"/>
    <w:multiLevelType w:val="hybridMultilevel"/>
    <w:tmpl w:val="39A8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681E"/>
    <w:multiLevelType w:val="hybridMultilevel"/>
    <w:tmpl w:val="1B9C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76EC8"/>
    <w:multiLevelType w:val="hybridMultilevel"/>
    <w:tmpl w:val="C9A8C1FA"/>
    <w:lvl w:ilvl="0" w:tplc="415023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50B1"/>
    <w:rsid w:val="000102CA"/>
    <w:rsid w:val="001729FF"/>
    <w:rsid w:val="001D04DA"/>
    <w:rsid w:val="001D4E6F"/>
    <w:rsid w:val="00297B48"/>
    <w:rsid w:val="005E29E3"/>
    <w:rsid w:val="005F50B1"/>
    <w:rsid w:val="005F57CD"/>
    <w:rsid w:val="00601A1D"/>
    <w:rsid w:val="00605F88"/>
    <w:rsid w:val="008957D0"/>
    <w:rsid w:val="00955F36"/>
    <w:rsid w:val="009578D8"/>
    <w:rsid w:val="00A97E5E"/>
    <w:rsid w:val="00AE4CC4"/>
    <w:rsid w:val="00B00656"/>
    <w:rsid w:val="00BB52D8"/>
    <w:rsid w:val="00C00872"/>
    <w:rsid w:val="00C21B2D"/>
    <w:rsid w:val="00C4643C"/>
    <w:rsid w:val="00C621F3"/>
    <w:rsid w:val="00C62F0A"/>
    <w:rsid w:val="00C63E2C"/>
    <w:rsid w:val="00D21865"/>
    <w:rsid w:val="00DA0D17"/>
    <w:rsid w:val="00EC4E46"/>
    <w:rsid w:val="00EE2D9A"/>
    <w:rsid w:val="00F43175"/>
    <w:rsid w:val="00FD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D052"/>
  <w15:docId w15:val="{6FDBDD3A-88F0-4431-BCAD-FB4A61F6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0B1"/>
    <w:rPr>
      <w:rFonts w:ascii="Tahoma" w:hAnsi="Tahoma" w:cs="Tahoma"/>
      <w:sz w:val="16"/>
      <w:szCs w:val="16"/>
    </w:rPr>
  </w:style>
  <w:style w:type="paragraph" w:styleId="Header">
    <w:name w:val="header"/>
    <w:basedOn w:val="Normal"/>
    <w:link w:val="HeaderChar"/>
    <w:uiPriority w:val="99"/>
    <w:unhideWhenUsed/>
    <w:rsid w:val="005F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B1"/>
  </w:style>
  <w:style w:type="paragraph" w:styleId="Footer">
    <w:name w:val="footer"/>
    <w:basedOn w:val="Normal"/>
    <w:link w:val="FooterChar"/>
    <w:uiPriority w:val="99"/>
    <w:unhideWhenUsed/>
    <w:rsid w:val="005F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B1"/>
  </w:style>
  <w:style w:type="table" w:styleId="TableGrid">
    <w:name w:val="Table Grid"/>
    <w:basedOn w:val="TableNormal"/>
    <w:uiPriority w:val="59"/>
    <w:rsid w:val="00C4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43C"/>
    <w:pPr>
      <w:ind w:left="720"/>
      <w:contextualSpacing/>
    </w:pPr>
  </w:style>
  <w:style w:type="paragraph" w:styleId="NoSpacing">
    <w:name w:val="No Spacing"/>
    <w:link w:val="NoSpacingChar"/>
    <w:uiPriority w:val="1"/>
    <w:qFormat/>
    <w:rsid w:val="00C621F3"/>
    <w:pPr>
      <w:spacing w:after="0" w:line="240" w:lineRule="auto"/>
    </w:pPr>
    <w:rPr>
      <w:rFonts w:eastAsiaTheme="minorEastAsia"/>
    </w:rPr>
  </w:style>
  <w:style w:type="character" w:customStyle="1" w:styleId="NoSpacingChar">
    <w:name w:val="No Spacing Char"/>
    <w:basedOn w:val="DefaultParagraphFont"/>
    <w:link w:val="NoSpacing"/>
    <w:uiPriority w:val="1"/>
    <w:rsid w:val="00C621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E461-DF0B-4761-A825-89F45D10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Commerce Bank</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Reus, Jarred</dc:creator>
  <cp:lastModifiedBy>JP Wimer</cp:lastModifiedBy>
  <cp:revision>5</cp:revision>
  <dcterms:created xsi:type="dcterms:W3CDTF">2017-08-15T18:09:00Z</dcterms:created>
  <dcterms:modified xsi:type="dcterms:W3CDTF">2017-09-25T18:17:00Z</dcterms:modified>
</cp:coreProperties>
</file>